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F43E" w14:textId="2B33F305" w:rsidR="0014591E" w:rsidRPr="00AF675A" w:rsidRDefault="00081BCB" w:rsidP="005C78E8">
      <w:pPr>
        <w:spacing w:line="240" w:lineRule="auto"/>
        <w:jc w:val="center"/>
        <w:rPr>
          <w:rFonts w:cs="Times New Roman"/>
          <w:b/>
          <w:szCs w:val="24"/>
          <w:lang w:eastAsia="et-EE"/>
        </w:rPr>
      </w:pPr>
      <w:r w:rsidRPr="00AF675A">
        <w:rPr>
          <w:rFonts w:cs="Times New Roman"/>
          <w:b/>
          <w:szCs w:val="24"/>
          <w:lang w:eastAsia="et-EE"/>
        </w:rPr>
        <w:t xml:space="preserve">LIINIKILOMEETRI MAKSUMUSE ALUSEKS OLEVATE </w:t>
      </w:r>
      <w:r w:rsidR="000C7ADB" w:rsidRPr="00AF675A">
        <w:rPr>
          <w:rFonts w:cs="Times New Roman"/>
          <w:b/>
          <w:szCs w:val="24"/>
          <w:lang w:eastAsia="et-EE"/>
        </w:rPr>
        <w:t>TULUDE-KULUDE ARVESTUS</w:t>
      </w:r>
      <w:r w:rsidR="0014591E" w:rsidRPr="00AF675A">
        <w:rPr>
          <w:rFonts w:cs="Times New Roman"/>
          <w:b/>
          <w:szCs w:val="24"/>
          <w:lang w:eastAsia="et-EE"/>
        </w:rPr>
        <w:t xml:space="preserve"> </w:t>
      </w:r>
    </w:p>
    <w:p w14:paraId="40E6DA7F" w14:textId="77777777" w:rsidR="008A7064" w:rsidRPr="00AF675A" w:rsidRDefault="008A7064" w:rsidP="005C78E8">
      <w:pPr>
        <w:spacing w:after="0" w:line="240" w:lineRule="auto"/>
        <w:rPr>
          <w:rFonts w:cs="Times New Roman"/>
          <w:szCs w:val="24"/>
        </w:rPr>
      </w:pPr>
    </w:p>
    <w:p w14:paraId="73590A3B" w14:textId="597C3EA5" w:rsidR="008A7064" w:rsidRPr="00AF675A" w:rsidRDefault="00FB5A77" w:rsidP="005C78E8">
      <w:pPr>
        <w:spacing w:after="0" w:line="240" w:lineRule="auto"/>
        <w:rPr>
          <w:rFonts w:cs="Times New Roman"/>
          <w:szCs w:val="24"/>
        </w:rPr>
      </w:pPr>
      <w:r w:rsidRPr="00AF675A">
        <w:rPr>
          <w:rFonts w:cs="Times New Roman"/>
          <w:szCs w:val="24"/>
        </w:rPr>
        <w:t>Vedaja on hinna</w:t>
      </w:r>
      <w:r w:rsidR="008A7064" w:rsidRPr="00AF675A">
        <w:rPr>
          <w:rFonts w:cs="Times New Roman"/>
          <w:szCs w:val="24"/>
        </w:rPr>
        <w:t xml:space="preserve">pakkumuses esitatud </w:t>
      </w:r>
      <w:r w:rsidR="000937C1" w:rsidRPr="00AF675A">
        <w:rPr>
          <w:rFonts w:cs="Times New Roman"/>
          <w:b/>
          <w:bCs/>
          <w:color w:val="000000"/>
          <w:szCs w:val="24"/>
        </w:rPr>
        <w:t>ühe liinikilomeetri maksumus</w:t>
      </w:r>
      <w:r w:rsidR="00435944">
        <w:rPr>
          <w:rFonts w:cs="Times New Roman"/>
          <w:b/>
          <w:bCs/>
          <w:color w:val="000000"/>
          <w:szCs w:val="24"/>
        </w:rPr>
        <w:t xml:space="preserve">e </w:t>
      </w:r>
      <w:r w:rsidR="008A7064" w:rsidRPr="00AF675A">
        <w:rPr>
          <w:rFonts w:cs="Times New Roman"/>
          <w:szCs w:val="24"/>
        </w:rPr>
        <w:t>arvestanud alljärgnevas tabelis toodud tulude ja kulude alusel.</w:t>
      </w:r>
    </w:p>
    <w:p w14:paraId="39EA804E" w14:textId="77777777" w:rsidR="00EB01E1" w:rsidRPr="00AF675A" w:rsidRDefault="0014591E" w:rsidP="005C78E8">
      <w:pPr>
        <w:spacing w:after="0" w:line="240" w:lineRule="auto"/>
        <w:rPr>
          <w:rFonts w:cs="Times New Roman"/>
          <w:szCs w:val="24"/>
        </w:rPr>
      </w:pPr>
      <w:r w:rsidRPr="00AF675A">
        <w:rPr>
          <w:rFonts w:cs="Times New Roman"/>
          <w:szCs w:val="24"/>
        </w:rPr>
        <w:t xml:space="preserve">Andmed </w:t>
      </w:r>
      <w:r w:rsidR="00EB01E1" w:rsidRPr="00AF675A">
        <w:rPr>
          <w:rFonts w:cs="Times New Roman"/>
          <w:szCs w:val="24"/>
        </w:rPr>
        <w:t xml:space="preserve">tuleb </w:t>
      </w:r>
      <w:r w:rsidRPr="00AF675A">
        <w:rPr>
          <w:rFonts w:cs="Times New Roman"/>
          <w:szCs w:val="24"/>
        </w:rPr>
        <w:t>esitada</w:t>
      </w:r>
      <w:r w:rsidR="008A7064" w:rsidRPr="00AF675A">
        <w:rPr>
          <w:rFonts w:cs="Times New Roman"/>
          <w:szCs w:val="24"/>
        </w:rPr>
        <w:t xml:space="preserve"> tabelis</w:t>
      </w:r>
      <w:r w:rsidRPr="00AF675A">
        <w:rPr>
          <w:rFonts w:cs="Times New Roman"/>
          <w:szCs w:val="24"/>
        </w:rPr>
        <w:t xml:space="preserve"> ilma käibemaksuta ja täpsusega </w:t>
      </w:r>
      <w:r w:rsidR="00683723" w:rsidRPr="00AF675A">
        <w:rPr>
          <w:rFonts w:cs="Times New Roman"/>
          <w:szCs w:val="24"/>
        </w:rPr>
        <w:t>kolm</w:t>
      </w:r>
      <w:r w:rsidR="00EB01E1" w:rsidRPr="00AF675A">
        <w:rPr>
          <w:rFonts w:cs="Times New Roman"/>
          <w:szCs w:val="24"/>
        </w:rPr>
        <w:t xml:space="preserve"> kohta peale koma (</w:t>
      </w:r>
      <w:r w:rsidRPr="00AF675A">
        <w:rPr>
          <w:rFonts w:cs="Times New Roman"/>
          <w:szCs w:val="24"/>
        </w:rPr>
        <w:t>0,</w:t>
      </w:r>
      <w:r w:rsidR="00683723" w:rsidRPr="00AF675A">
        <w:rPr>
          <w:rFonts w:cs="Times New Roman"/>
          <w:szCs w:val="24"/>
        </w:rPr>
        <w:t>0</w:t>
      </w:r>
      <w:r w:rsidRPr="00AF675A">
        <w:rPr>
          <w:rFonts w:cs="Times New Roman"/>
          <w:szCs w:val="24"/>
        </w:rPr>
        <w:t>01</w:t>
      </w:r>
      <w:r w:rsidR="00EB01E1" w:rsidRPr="00AF675A">
        <w:rPr>
          <w:rFonts w:cs="Times New Roman"/>
          <w:szCs w:val="24"/>
        </w:rPr>
        <w:t>). Tabeli kõik read peavad olema täidetud, kui mingi kululiigi suhtes kulu ette ei nähta, siis tuleb see tabelis kajastada 0-eurose kuluna</w:t>
      </w:r>
      <w:r w:rsidR="008A7064" w:rsidRPr="00AF675A">
        <w:rPr>
          <w:rFonts w:cs="Times New Roman"/>
          <w:szCs w:val="24"/>
        </w:rPr>
        <w:t>.</w:t>
      </w:r>
    </w:p>
    <w:p w14:paraId="74490860" w14:textId="4EA5741A" w:rsidR="00D060E4" w:rsidRPr="00AF675A" w:rsidRDefault="00D060E4" w:rsidP="005C78E8">
      <w:pPr>
        <w:spacing w:after="0" w:line="240" w:lineRule="auto"/>
        <w:rPr>
          <w:rFonts w:cs="Times New Roman"/>
          <w:szCs w:val="24"/>
        </w:rPr>
      </w:pPr>
      <w:r w:rsidRPr="00AF675A">
        <w:rPr>
          <w:rFonts w:cs="Times New Roman"/>
          <w:szCs w:val="24"/>
        </w:rPr>
        <w:t xml:space="preserve">Tabeli täitmisel </w:t>
      </w:r>
      <w:r w:rsidRPr="00AF675A">
        <w:rPr>
          <w:rFonts w:cs="Times New Roman"/>
          <w:color w:val="000000"/>
          <w:szCs w:val="24"/>
        </w:rPr>
        <w:t xml:space="preserve">lähtuda arvestustes perioodiks </w:t>
      </w:r>
      <w:r w:rsidRPr="00AF675A">
        <w:rPr>
          <w:rFonts w:cs="Times New Roman"/>
          <w:b/>
          <w:bCs/>
          <w:color w:val="000000"/>
          <w:szCs w:val="24"/>
        </w:rPr>
        <w:t>01.</w:t>
      </w:r>
      <w:r w:rsidR="00ED77C8" w:rsidRPr="00AF675A">
        <w:rPr>
          <w:rFonts w:cs="Times New Roman"/>
          <w:b/>
          <w:bCs/>
          <w:color w:val="000000"/>
          <w:szCs w:val="24"/>
        </w:rPr>
        <w:t>0</w:t>
      </w:r>
      <w:r w:rsidR="001B4771" w:rsidRPr="00AF675A">
        <w:rPr>
          <w:rFonts w:cs="Times New Roman"/>
          <w:b/>
          <w:bCs/>
          <w:color w:val="000000"/>
          <w:szCs w:val="24"/>
        </w:rPr>
        <w:t>7</w:t>
      </w:r>
      <w:r w:rsidRPr="00AF675A">
        <w:rPr>
          <w:rFonts w:cs="Times New Roman"/>
          <w:b/>
          <w:bCs/>
          <w:color w:val="000000"/>
          <w:szCs w:val="24"/>
        </w:rPr>
        <w:t>.20</w:t>
      </w:r>
      <w:r w:rsidR="00160472" w:rsidRPr="00AF675A">
        <w:rPr>
          <w:rFonts w:cs="Times New Roman"/>
          <w:b/>
          <w:bCs/>
          <w:color w:val="000000"/>
          <w:szCs w:val="24"/>
        </w:rPr>
        <w:t>2</w:t>
      </w:r>
      <w:r w:rsidR="001B4771" w:rsidRPr="00AF675A">
        <w:rPr>
          <w:rFonts w:cs="Times New Roman"/>
          <w:b/>
          <w:bCs/>
          <w:color w:val="000000"/>
          <w:szCs w:val="24"/>
        </w:rPr>
        <w:t>6</w:t>
      </w:r>
      <w:r w:rsidR="00C620B5" w:rsidRPr="00AF675A">
        <w:rPr>
          <w:rFonts w:cs="Times New Roman"/>
          <w:b/>
          <w:bCs/>
          <w:color w:val="000000"/>
          <w:szCs w:val="24"/>
        </w:rPr>
        <w:t xml:space="preserve"> – 3</w:t>
      </w:r>
      <w:r w:rsidR="00160472" w:rsidRPr="00AF675A">
        <w:rPr>
          <w:rFonts w:cs="Times New Roman"/>
          <w:b/>
          <w:bCs/>
          <w:color w:val="000000"/>
          <w:szCs w:val="24"/>
        </w:rPr>
        <w:t>0</w:t>
      </w:r>
      <w:r w:rsidR="00C620B5" w:rsidRPr="00AF675A">
        <w:rPr>
          <w:rFonts w:cs="Times New Roman"/>
          <w:b/>
          <w:bCs/>
          <w:color w:val="000000"/>
          <w:szCs w:val="24"/>
        </w:rPr>
        <w:t>.</w:t>
      </w:r>
      <w:r w:rsidR="00160472" w:rsidRPr="00AF675A">
        <w:rPr>
          <w:rFonts w:cs="Times New Roman"/>
          <w:b/>
          <w:bCs/>
          <w:color w:val="000000"/>
          <w:szCs w:val="24"/>
        </w:rPr>
        <w:t>06</w:t>
      </w:r>
      <w:r w:rsidRPr="00AF675A">
        <w:rPr>
          <w:rFonts w:cs="Times New Roman"/>
          <w:b/>
          <w:bCs/>
          <w:color w:val="000000"/>
          <w:szCs w:val="24"/>
        </w:rPr>
        <w:t>.20</w:t>
      </w:r>
      <w:r w:rsidR="00C620B5" w:rsidRPr="00AF675A">
        <w:rPr>
          <w:rFonts w:cs="Times New Roman"/>
          <w:b/>
          <w:bCs/>
          <w:color w:val="000000"/>
          <w:szCs w:val="24"/>
        </w:rPr>
        <w:t>2</w:t>
      </w:r>
      <w:r w:rsidR="001B4771" w:rsidRPr="00AF675A">
        <w:rPr>
          <w:rFonts w:cs="Times New Roman"/>
          <w:b/>
          <w:bCs/>
          <w:color w:val="000000"/>
          <w:szCs w:val="24"/>
        </w:rPr>
        <w:t>8</w:t>
      </w:r>
      <w:r w:rsidRPr="00AF675A">
        <w:rPr>
          <w:rFonts w:cs="Times New Roman"/>
          <w:color w:val="000000"/>
          <w:szCs w:val="24"/>
        </w:rPr>
        <w:t xml:space="preserve"> planeeritavatest näitajatest.</w:t>
      </w:r>
    </w:p>
    <w:p w14:paraId="30D33520" w14:textId="77777777" w:rsidR="0014591E" w:rsidRPr="00AF675A" w:rsidRDefault="0014591E" w:rsidP="005C78E8">
      <w:pPr>
        <w:spacing w:after="0" w:line="240" w:lineRule="auto"/>
        <w:rPr>
          <w:rFonts w:cs="Times New Roman"/>
          <w:szCs w:val="24"/>
          <w:u w:val="single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6160"/>
        <w:gridCol w:w="1013"/>
        <w:gridCol w:w="1234"/>
      </w:tblGrid>
      <w:tr w:rsidR="008313DF" w:rsidRPr="00AF675A" w14:paraId="32CB9B73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50905D6B" w14:textId="77777777" w:rsidR="008313DF" w:rsidRPr="00AF675A" w:rsidRDefault="008313DF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Jrk</w:t>
            </w:r>
          </w:p>
        </w:tc>
        <w:tc>
          <w:tcPr>
            <w:tcW w:w="6160" w:type="dxa"/>
            <w:noWrap/>
            <w:hideMark/>
          </w:tcPr>
          <w:p w14:paraId="4D5CC543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Näitaja ja valem</w:t>
            </w:r>
          </w:p>
        </w:tc>
        <w:tc>
          <w:tcPr>
            <w:tcW w:w="1013" w:type="dxa"/>
            <w:noWrap/>
            <w:hideMark/>
          </w:tcPr>
          <w:p w14:paraId="7B086AB0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Ühik</w:t>
            </w:r>
          </w:p>
        </w:tc>
        <w:tc>
          <w:tcPr>
            <w:tcW w:w="1180" w:type="dxa"/>
            <w:noWrap/>
            <w:hideMark/>
          </w:tcPr>
          <w:p w14:paraId="0CF1C97E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Pakkumus</w:t>
            </w:r>
          </w:p>
        </w:tc>
      </w:tr>
      <w:tr w:rsidR="008313DF" w:rsidRPr="00AF675A" w14:paraId="0704F0C3" w14:textId="77777777" w:rsidTr="00F81977">
        <w:trPr>
          <w:trHeight w:val="300"/>
        </w:trPr>
        <w:tc>
          <w:tcPr>
            <w:tcW w:w="635" w:type="dxa"/>
            <w:shd w:val="clear" w:color="000000" w:fill="D9D9D9"/>
            <w:noWrap/>
            <w:hideMark/>
          </w:tcPr>
          <w:p w14:paraId="481758DA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6160" w:type="dxa"/>
            <w:shd w:val="clear" w:color="000000" w:fill="D9D9D9"/>
            <w:noWrap/>
            <w:hideMark/>
          </w:tcPr>
          <w:p w14:paraId="42B88760" w14:textId="77777777" w:rsidR="008313DF" w:rsidRPr="00AF675A" w:rsidRDefault="008313DF">
            <w:pPr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Kulud kokku 2+3</w:t>
            </w:r>
          </w:p>
        </w:tc>
        <w:tc>
          <w:tcPr>
            <w:tcW w:w="1013" w:type="dxa"/>
            <w:shd w:val="clear" w:color="000000" w:fill="D9D9D9"/>
            <w:noWrap/>
            <w:hideMark/>
          </w:tcPr>
          <w:p w14:paraId="3C2E4218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shd w:val="clear" w:color="000000" w:fill="D9D9D9"/>
            <w:noWrap/>
            <w:hideMark/>
          </w:tcPr>
          <w:p w14:paraId="55AA72DA" w14:textId="77777777" w:rsidR="008313DF" w:rsidRPr="00AF675A" w:rsidRDefault="008313DF">
            <w:pPr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0,0000</w:t>
            </w:r>
          </w:p>
        </w:tc>
      </w:tr>
      <w:tr w:rsidR="008313DF" w:rsidRPr="00AF675A" w14:paraId="3EC5DF2F" w14:textId="77777777" w:rsidTr="00F81977">
        <w:trPr>
          <w:trHeight w:val="300"/>
        </w:trPr>
        <w:tc>
          <w:tcPr>
            <w:tcW w:w="635" w:type="dxa"/>
            <w:shd w:val="clear" w:color="000000" w:fill="D9D9D9"/>
            <w:noWrap/>
            <w:hideMark/>
          </w:tcPr>
          <w:p w14:paraId="63951AF7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6160" w:type="dxa"/>
            <w:shd w:val="clear" w:color="000000" w:fill="D9D9D9"/>
            <w:noWrap/>
            <w:hideMark/>
          </w:tcPr>
          <w:p w14:paraId="6A38636C" w14:textId="77777777" w:rsidR="008313DF" w:rsidRPr="00AF675A" w:rsidRDefault="008313DF">
            <w:pPr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Muutuvkulud kokku 2.1.+2.2.+2.3.+2.4.+2.5.+2.6.</w:t>
            </w:r>
          </w:p>
        </w:tc>
        <w:tc>
          <w:tcPr>
            <w:tcW w:w="1013" w:type="dxa"/>
            <w:shd w:val="clear" w:color="000000" w:fill="D9D9D9"/>
            <w:noWrap/>
            <w:hideMark/>
          </w:tcPr>
          <w:p w14:paraId="104B2371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shd w:val="clear" w:color="000000" w:fill="D9D9D9"/>
            <w:noWrap/>
            <w:hideMark/>
          </w:tcPr>
          <w:p w14:paraId="2D9B6D89" w14:textId="77777777" w:rsidR="008313DF" w:rsidRPr="00AF675A" w:rsidRDefault="008313DF">
            <w:pPr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0,0000</w:t>
            </w:r>
          </w:p>
        </w:tc>
      </w:tr>
      <w:tr w:rsidR="008313DF" w:rsidRPr="00AF675A" w14:paraId="4E83DFAB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480FF3AD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2.1.</w:t>
            </w:r>
          </w:p>
        </w:tc>
        <w:tc>
          <w:tcPr>
            <w:tcW w:w="6160" w:type="dxa"/>
            <w:noWrap/>
            <w:hideMark/>
          </w:tcPr>
          <w:p w14:paraId="27041961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Kütuse kulu</w:t>
            </w:r>
          </w:p>
        </w:tc>
        <w:tc>
          <w:tcPr>
            <w:tcW w:w="1013" w:type="dxa"/>
            <w:noWrap/>
            <w:hideMark/>
          </w:tcPr>
          <w:p w14:paraId="634E566F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4F56C301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DEFE893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342888F3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2.2.</w:t>
            </w:r>
          </w:p>
        </w:tc>
        <w:tc>
          <w:tcPr>
            <w:tcW w:w="6160" w:type="dxa"/>
            <w:noWrap/>
            <w:hideMark/>
          </w:tcPr>
          <w:p w14:paraId="121AA65A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Määrdeainete kulu (sh kütuselisandid)</w:t>
            </w:r>
          </w:p>
        </w:tc>
        <w:tc>
          <w:tcPr>
            <w:tcW w:w="1013" w:type="dxa"/>
            <w:noWrap/>
            <w:hideMark/>
          </w:tcPr>
          <w:p w14:paraId="236C7688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130BFCDA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768734DB" w14:textId="77777777" w:rsidTr="00F81977">
        <w:trPr>
          <w:trHeight w:val="300"/>
        </w:trPr>
        <w:tc>
          <w:tcPr>
            <w:tcW w:w="635" w:type="dxa"/>
            <w:shd w:val="clear" w:color="000000" w:fill="D9D9D9"/>
            <w:noWrap/>
            <w:hideMark/>
          </w:tcPr>
          <w:p w14:paraId="07BA1DC8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2.3.</w:t>
            </w:r>
          </w:p>
        </w:tc>
        <w:tc>
          <w:tcPr>
            <w:tcW w:w="6160" w:type="dxa"/>
            <w:shd w:val="clear" w:color="000000" w:fill="D9D9D9"/>
            <w:hideMark/>
          </w:tcPr>
          <w:p w14:paraId="0A1534FC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Veeremi hooldus- ja remondikulud kokku 2.3.1.+2.3.2.+2.3.3.</w:t>
            </w:r>
          </w:p>
        </w:tc>
        <w:tc>
          <w:tcPr>
            <w:tcW w:w="1013" w:type="dxa"/>
            <w:shd w:val="clear" w:color="000000" w:fill="D9D9D9"/>
            <w:noWrap/>
            <w:hideMark/>
          </w:tcPr>
          <w:p w14:paraId="6A9E6B48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shd w:val="clear" w:color="000000" w:fill="D9D9D9"/>
            <w:noWrap/>
            <w:hideMark/>
          </w:tcPr>
          <w:p w14:paraId="5A868AC9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0,0000</w:t>
            </w:r>
          </w:p>
        </w:tc>
      </w:tr>
      <w:tr w:rsidR="008313DF" w:rsidRPr="00AF675A" w14:paraId="139A636B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3C03AEB8" w14:textId="67FD2EE4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2.3.1</w:t>
            </w:r>
          </w:p>
        </w:tc>
        <w:tc>
          <w:tcPr>
            <w:tcW w:w="6160" w:type="dxa"/>
            <w:hideMark/>
          </w:tcPr>
          <w:p w14:paraId="745297BE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 xml:space="preserve">Materiaalsed remondikulud </w:t>
            </w:r>
          </w:p>
        </w:tc>
        <w:tc>
          <w:tcPr>
            <w:tcW w:w="1013" w:type="dxa"/>
            <w:noWrap/>
            <w:hideMark/>
          </w:tcPr>
          <w:p w14:paraId="1F943821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143A173E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2A258DF2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24E4B4B3" w14:textId="0E0EC73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2.3.2</w:t>
            </w:r>
          </w:p>
        </w:tc>
        <w:tc>
          <w:tcPr>
            <w:tcW w:w="6160" w:type="dxa"/>
            <w:hideMark/>
          </w:tcPr>
          <w:p w14:paraId="74F4ECAC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Remonditööliste tööjõukulu (koos tulu-, sotsiaal- jm maksudega)</w:t>
            </w:r>
            <w:r w:rsidRPr="00AF675A">
              <w:rPr>
                <w:rFonts w:cs="Times New Roman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013" w:type="dxa"/>
            <w:noWrap/>
            <w:hideMark/>
          </w:tcPr>
          <w:p w14:paraId="732884C8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747AE80F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30F6CDE7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7DC3588C" w14:textId="44766BB5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2.3.3</w:t>
            </w:r>
          </w:p>
        </w:tc>
        <w:tc>
          <w:tcPr>
            <w:tcW w:w="6160" w:type="dxa"/>
            <w:noWrap/>
            <w:hideMark/>
          </w:tcPr>
          <w:p w14:paraId="4A28F8AE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Busside pesemise ja koristamise kulu</w:t>
            </w:r>
          </w:p>
        </w:tc>
        <w:tc>
          <w:tcPr>
            <w:tcW w:w="1013" w:type="dxa"/>
            <w:noWrap/>
            <w:hideMark/>
          </w:tcPr>
          <w:p w14:paraId="20D914F0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4304F9FA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8C7CE2C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0745E7D8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2.4.</w:t>
            </w:r>
          </w:p>
        </w:tc>
        <w:tc>
          <w:tcPr>
            <w:tcW w:w="6160" w:type="dxa"/>
            <w:hideMark/>
          </w:tcPr>
          <w:p w14:paraId="1FDC038A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Bussijuhtide tööjõukulu (koos tulu-, sotsiaal- jm maksudega)</w:t>
            </w:r>
            <w:r w:rsidRPr="00AF675A">
              <w:rPr>
                <w:rFonts w:cs="Times New Roman"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1013" w:type="dxa"/>
            <w:noWrap/>
            <w:hideMark/>
          </w:tcPr>
          <w:p w14:paraId="56809634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1E0F3743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32E206D4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343D36BE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2.5.</w:t>
            </w:r>
          </w:p>
        </w:tc>
        <w:tc>
          <w:tcPr>
            <w:tcW w:w="6160" w:type="dxa"/>
            <w:noWrap/>
            <w:hideMark/>
          </w:tcPr>
          <w:p w14:paraId="2B69D8D0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Rehvid</w:t>
            </w:r>
          </w:p>
        </w:tc>
        <w:tc>
          <w:tcPr>
            <w:tcW w:w="1013" w:type="dxa"/>
            <w:noWrap/>
            <w:hideMark/>
          </w:tcPr>
          <w:p w14:paraId="16AF6979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626E0C7D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123E9250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242CD0AE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2.6.</w:t>
            </w:r>
          </w:p>
        </w:tc>
        <w:tc>
          <w:tcPr>
            <w:tcW w:w="6160" w:type="dxa"/>
            <w:noWrap/>
            <w:hideMark/>
          </w:tcPr>
          <w:p w14:paraId="664E58A2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Muud muutuvkulud (nimetada kuluartiklite kaupa)</w:t>
            </w:r>
          </w:p>
        </w:tc>
        <w:tc>
          <w:tcPr>
            <w:tcW w:w="1013" w:type="dxa"/>
            <w:noWrap/>
            <w:hideMark/>
          </w:tcPr>
          <w:p w14:paraId="66AB2C3F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4FCD4E38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B131FDB" w14:textId="77777777" w:rsidTr="00F81977">
        <w:trPr>
          <w:trHeight w:val="300"/>
        </w:trPr>
        <w:tc>
          <w:tcPr>
            <w:tcW w:w="635" w:type="dxa"/>
            <w:shd w:val="clear" w:color="000000" w:fill="D9D9D9"/>
            <w:noWrap/>
            <w:hideMark/>
          </w:tcPr>
          <w:p w14:paraId="057FC3FC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6160" w:type="dxa"/>
            <w:shd w:val="clear" w:color="000000" w:fill="D9D9D9"/>
            <w:noWrap/>
            <w:hideMark/>
          </w:tcPr>
          <w:p w14:paraId="118E4183" w14:textId="77777777" w:rsidR="008313DF" w:rsidRPr="00AF675A" w:rsidRDefault="008313DF">
            <w:pPr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Püsikulud kokku 3.1.+3.2.+3.3.+3.4.+3.5.+3.6.+3.7.+3.8.</w:t>
            </w:r>
          </w:p>
        </w:tc>
        <w:tc>
          <w:tcPr>
            <w:tcW w:w="1013" w:type="dxa"/>
            <w:shd w:val="clear" w:color="000000" w:fill="D9D9D9"/>
            <w:noWrap/>
            <w:hideMark/>
          </w:tcPr>
          <w:p w14:paraId="19740374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shd w:val="clear" w:color="000000" w:fill="D9D9D9"/>
            <w:noWrap/>
            <w:hideMark/>
          </w:tcPr>
          <w:p w14:paraId="12B529D9" w14:textId="77777777" w:rsidR="008313DF" w:rsidRPr="00AF675A" w:rsidRDefault="008313DF">
            <w:pPr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0,0000</w:t>
            </w:r>
          </w:p>
        </w:tc>
      </w:tr>
      <w:tr w:rsidR="008313DF" w:rsidRPr="00AF675A" w14:paraId="7FE0BDB3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37B9ECFA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3.1.</w:t>
            </w:r>
          </w:p>
        </w:tc>
        <w:tc>
          <w:tcPr>
            <w:tcW w:w="6160" w:type="dxa"/>
            <w:noWrap/>
            <w:hideMark/>
          </w:tcPr>
          <w:p w14:paraId="72C4F32E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Busside amortisatsioon</w:t>
            </w:r>
          </w:p>
        </w:tc>
        <w:tc>
          <w:tcPr>
            <w:tcW w:w="1013" w:type="dxa"/>
            <w:noWrap/>
            <w:hideMark/>
          </w:tcPr>
          <w:p w14:paraId="08B22D0A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36769FE4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8C259DA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6BDA6DFE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3.2.</w:t>
            </w:r>
          </w:p>
        </w:tc>
        <w:tc>
          <w:tcPr>
            <w:tcW w:w="6160" w:type="dxa"/>
            <w:noWrap/>
            <w:hideMark/>
          </w:tcPr>
          <w:p w14:paraId="35BA8DC1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Busside liisingu- ja rendimaksed</w:t>
            </w:r>
          </w:p>
        </w:tc>
        <w:tc>
          <w:tcPr>
            <w:tcW w:w="1013" w:type="dxa"/>
            <w:noWrap/>
            <w:hideMark/>
          </w:tcPr>
          <w:p w14:paraId="50DCEEEB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46C683FD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7DA3D5E0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62FDCAF9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3.3.</w:t>
            </w:r>
          </w:p>
        </w:tc>
        <w:tc>
          <w:tcPr>
            <w:tcW w:w="6160" w:type="dxa"/>
            <w:noWrap/>
            <w:hideMark/>
          </w:tcPr>
          <w:p w14:paraId="3D6096F0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Busside remondi üldkulu</w:t>
            </w:r>
          </w:p>
        </w:tc>
        <w:tc>
          <w:tcPr>
            <w:tcW w:w="1013" w:type="dxa"/>
            <w:noWrap/>
            <w:hideMark/>
          </w:tcPr>
          <w:p w14:paraId="3D8B3EEB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21F98D06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7F62E7B6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1150E325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3.4.</w:t>
            </w:r>
          </w:p>
        </w:tc>
        <w:tc>
          <w:tcPr>
            <w:tcW w:w="6160" w:type="dxa"/>
            <w:noWrap/>
            <w:hideMark/>
          </w:tcPr>
          <w:p w14:paraId="6726C427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Busside kindlustus</w:t>
            </w:r>
          </w:p>
        </w:tc>
        <w:tc>
          <w:tcPr>
            <w:tcW w:w="1013" w:type="dxa"/>
            <w:noWrap/>
            <w:hideMark/>
          </w:tcPr>
          <w:p w14:paraId="553FF178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111F789D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2D35302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106038AA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3.5.</w:t>
            </w:r>
          </w:p>
        </w:tc>
        <w:tc>
          <w:tcPr>
            <w:tcW w:w="6160" w:type="dxa"/>
            <w:noWrap/>
            <w:hideMark/>
          </w:tcPr>
          <w:p w14:paraId="566A9BDC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Kinnisvara üldkulu</w:t>
            </w:r>
          </w:p>
        </w:tc>
        <w:tc>
          <w:tcPr>
            <w:tcW w:w="1013" w:type="dxa"/>
            <w:noWrap/>
            <w:hideMark/>
          </w:tcPr>
          <w:p w14:paraId="52EA3969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7EA95FF6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0827F4D8" w14:textId="77777777" w:rsidTr="00F81977">
        <w:trPr>
          <w:trHeight w:val="300"/>
        </w:trPr>
        <w:tc>
          <w:tcPr>
            <w:tcW w:w="635" w:type="dxa"/>
            <w:shd w:val="clear" w:color="000000" w:fill="D9D9D9"/>
            <w:noWrap/>
            <w:hideMark/>
          </w:tcPr>
          <w:p w14:paraId="40244A45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lastRenderedPageBreak/>
              <w:t>3.6.</w:t>
            </w:r>
          </w:p>
        </w:tc>
        <w:tc>
          <w:tcPr>
            <w:tcW w:w="6160" w:type="dxa"/>
            <w:shd w:val="clear" w:color="000000" w:fill="D9D9D9"/>
            <w:hideMark/>
          </w:tcPr>
          <w:p w14:paraId="4B420B0A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Ostetavate teenuste kulud kokku 3.6.1.+3.6.2.+3.6.3.+3.6.4.</w:t>
            </w:r>
          </w:p>
        </w:tc>
        <w:tc>
          <w:tcPr>
            <w:tcW w:w="1013" w:type="dxa"/>
            <w:shd w:val="clear" w:color="000000" w:fill="D9D9D9"/>
            <w:noWrap/>
            <w:hideMark/>
          </w:tcPr>
          <w:p w14:paraId="3FAE4D88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shd w:val="clear" w:color="000000" w:fill="D9D9D9"/>
            <w:noWrap/>
            <w:hideMark/>
          </w:tcPr>
          <w:p w14:paraId="1CE13E83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0,0000</w:t>
            </w:r>
          </w:p>
        </w:tc>
      </w:tr>
      <w:tr w:rsidR="008313DF" w:rsidRPr="00AF675A" w14:paraId="1D609174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7FE8C05B" w14:textId="28E857D3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3.6.1</w:t>
            </w:r>
          </w:p>
        </w:tc>
        <w:tc>
          <w:tcPr>
            <w:tcW w:w="6160" w:type="dxa"/>
            <w:noWrap/>
            <w:hideMark/>
          </w:tcPr>
          <w:p w14:paraId="1F28649D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Elekter</w:t>
            </w:r>
          </w:p>
        </w:tc>
        <w:tc>
          <w:tcPr>
            <w:tcW w:w="1013" w:type="dxa"/>
            <w:noWrap/>
            <w:hideMark/>
          </w:tcPr>
          <w:p w14:paraId="6BA890C2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3CC64562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3B148EEC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1CB8C23F" w14:textId="3B50E184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3.6.2</w:t>
            </w:r>
          </w:p>
        </w:tc>
        <w:tc>
          <w:tcPr>
            <w:tcW w:w="6160" w:type="dxa"/>
            <w:noWrap/>
            <w:hideMark/>
          </w:tcPr>
          <w:p w14:paraId="770099B7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Ruumide ja hoonete küte</w:t>
            </w:r>
          </w:p>
        </w:tc>
        <w:tc>
          <w:tcPr>
            <w:tcW w:w="1013" w:type="dxa"/>
            <w:noWrap/>
            <w:hideMark/>
          </w:tcPr>
          <w:p w14:paraId="6D15EF79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7D90E7AB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04E947BA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1EBBBAB2" w14:textId="2467C081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3.6.3</w:t>
            </w:r>
          </w:p>
        </w:tc>
        <w:tc>
          <w:tcPr>
            <w:tcW w:w="6160" w:type="dxa"/>
            <w:noWrap/>
            <w:hideMark/>
          </w:tcPr>
          <w:p w14:paraId="22F5F2AB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Kindlustus (v.a busside kindlustus)</w:t>
            </w:r>
          </w:p>
        </w:tc>
        <w:tc>
          <w:tcPr>
            <w:tcW w:w="1013" w:type="dxa"/>
            <w:noWrap/>
            <w:hideMark/>
          </w:tcPr>
          <w:p w14:paraId="506B3FD8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3D7D2460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2414B5A7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04715DAD" w14:textId="747E0F71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3.6.4</w:t>
            </w:r>
          </w:p>
        </w:tc>
        <w:tc>
          <w:tcPr>
            <w:tcW w:w="6160" w:type="dxa"/>
            <w:noWrap/>
            <w:hideMark/>
          </w:tcPr>
          <w:p w14:paraId="0C2364AE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Muud ostetavate teenuste kulud (nimetada kuluartiklite kaupa)</w:t>
            </w:r>
          </w:p>
        </w:tc>
        <w:tc>
          <w:tcPr>
            <w:tcW w:w="1013" w:type="dxa"/>
            <w:noWrap/>
            <w:hideMark/>
          </w:tcPr>
          <w:p w14:paraId="44DA2ED8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0143E0D3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38A84457" w14:textId="77777777" w:rsidTr="00F81977">
        <w:trPr>
          <w:trHeight w:val="300"/>
        </w:trPr>
        <w:tc>
          <w:tcPr>
            <w:tcW w:w="635" w:type="dxa"/>
            <w:shd w:val="clear" w:color="000000" w:fill="D9D9D9"/>
            <w:noWrap/>
            <w:hideMark/>
          </w:tcPr>
          <w:p w14:paraId="49898795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3.7.</w:t>
            </w:r>
          </w:p>
        </w:tc>
        <w:tc>
          <w:tcPr>
            <w:tcW w:w="6160" w:type="dxa"/>
            <w:shd w:val="clear" w:color="000000" w:fill="D9D9D9"/>
            <w:noWrap/>
            <w:hideMark/>
          </w:tcPr>
          <w:p w14:paraId="3C234226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Halduskulud kokku 3.7.1.+3.7.2.+3.7.3.+3.7.4.</w:t>
            </w:r>
          </w:p>
        </w:tc>
        <w:tc>
          <w:tcPr>
            <w:tcW w:w="1013" w:type="dxa"/>
            <w:shd w:val="clear" w:color="000000" w:fill="D9D9D9"/>
            <w:noWrap/>
            <w:hideMark/>
          </w:tcPr>
          <w:p w14:paraId="2FAD73E3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shd w:val="clear" w:color="000000" w:fill="D9D9D9"/>
            <w:noWrap/>
            <w:hideMark/>
          </w:tcPr>
          <w:p w14:paraId="2C439B44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0,0000</w:t>
            </w:r>
          </w:p>
        </w:tc>
      </w:tr>
      <w:tr w:rsidR="008313DF" w:rsidRPr="00AF675A" w14:paraId="1166F82B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2A527FC5" w14:textId="2323616E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3.7.1</w:t>
            </w:r>
          </w:p>
        </w:tc>
        <w:tc>
          <w:tcPr>
            <w:tcW w:w="6160" w:type="dxa"/>
            <w:noWrap/>
            <w:hideMark/>
          </w:tcPr>
          <w:p w14:paraId="39FC6AF4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Konsultatsioonikulu</w:t>
            </w:r>
          </w:p>
        </w:tc>
        <w:tc>
          <w:tcPr>
            <w:tcW w:w="1013" w:type="dxa"/>
            <w:noWrap/>
            <w:hideMark/>
          </w:tcPr>
          <w:p w14:paraId="239FE9EF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48DE40C1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18739C9D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364B4B1C" w14:textId="1F5D8AB6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3.7.2</w:t>
            </w:r>
          </w:p>
        </w:tc>
        <w:tc>
          <w:tcPr>
            <w:tcW w:w="6160" w:type="dxa"/>
            <w:noWrap/>
            <w:hideMark/>
          </w:tcPr>
          <w:p w14:paraId="018D4193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Õigusabikulu</w:t>
            </w:r>
          </w:p>
        </w:tc>
        <w:tc>
          <w:tcPr>
            <w:tcW w:w="1013" w:type="dxa"/>
            <w:noWrap/>
            <w:hideMark/>
          </w:tcPr>
          <w:p w14:paraId="2319540F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1DBA8B02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7BD5ECDB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264BFCCE" w14:textId="629F221C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3.7.3</w:t>
            </w:r>
          </w:p>
        </w:tc>
        <w:tc>
          <w:tcPr>
            <w:tcW w:w="6160" w:type="dxa"/>
            <w:noWrap/>
            <w:hideMark/>
          </w:tcPr>
          <w:p w14:paraId="4C2E2AC9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Intressikulud</w:t>
            </w:r>
          </w:p>
        </w:tc>
        <w:tc>
          <w:tcPr>
            <w:tcW w:w="1013" w:type="dxa"/>
            <w:noWrap/>
            <w:hideMark/>
          </w:tcPr>
          <w:p w14:paraId="222C4F34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18E74886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16FDCA90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58EC85E4" w14:textId="0DEC7CA5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3.7.4</w:t>
            </w:r>
          </w:p>
        </w:tc>
        <w:tc>
          <w:tcPr>
            <w:tcW w:w="6160" w:type="dxa"/>
            <w:hideMark/>
          </w:tcPr>
          <w:p w14:paraId="04D9713F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Muud halduskulud (nimetada kuluartiklite kaupa)</w:t>
            </w:r>
          </w:p>
        </w:tc>
        <w:tc>
          <w:tcPr>
            <w:tcW w:w="1013" w:type="dxa"/>
            <w:noWrap/>
            <w:hideMark/>
          </w:tcPr>
          <w:p w14:paraId="24DA2334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5F8546E6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5DFF4291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2150A419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3.8.</w:t>
            </w:r>
          </w:p>
        </w:tc>
        <w:tc>
          <w:tcPr>
            <w:tcW w:w="6160" w:type="dxa"/>
            <w:noWrap/>
            <w:hideMark/>
          </w:tcPr>
          <w:p w14:paraId="2DB405E3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Muud püsikulud (nimetada kuluartiklite kaupa)</w:t>
            </w:r>
          </w:p>
        </w:tc>
        <w:tc>
          <w:tcPr>
            <w:tcW w:w="1013" w:type="dxa"/>
            <w:noWrap/>
            <w:hideMark/>
          </w:tcPr>
          <w:p w14:paraId="6E528EC8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noWrap/>
            <w:hideMark/>
          </w:tcPr>
          <w:p w14:paraId="703C8D22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55DF4F8C" w14:textId="77777777" w:rsidTr="00F81977">
        <w:trPr>
          <w:trHeight w:val="300"/>
        </w:trPr>
        <w:tc>
          <w:tcPr>
            <w:tcW w:w="635" w:type="dxa"/>
            <w:shd w:val="clear" w:color="000000" w:fill="D9D9D9"/>
            <w:noWrap/>
            <w:hideMark/>
          </w:tcPr>
          <w:p w14:paraId="24A9A033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6160" w:type="dxa"/>
            <w:shd w:val="clear" w:color="000000" w:fill="D9D9D9"/>
            <w:noWrap/>
            <w:hideMark/>
          </w:tcPr>
          <w:p w14:paraId="1A73911B" w14:textId="77777777" w:rsidR="008313DF" w:rsidRPr="00AF675A" w:rsidRDefault="008313DF">
            <w:pPr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Tegevuse taotletav kasum/kahjum</w:t>
            </w:r>
          </w:p>
        </w:tc>
        <w:tc>
          <w:tcPr>
            <w:tcW w:w="1013" w:type="dxa"/>
            <w:shd w:val="clear" w:color="000000" w:fill="D9D9D9"/>
            <w:noWrap/>
            <w:hideMark/>
          </w:tcPr>
          <w:p w14:paraId="5E9284B6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shd w:val="clear" w:color="000000" w:fill="D9D9D9"/>
            <w:noWrap/>
            <w:hideMark/>
          </w:tcPr>
          <w:p w14:paraId="35FA1408" w14:textId="77777777" w:rsidR="008313DF" w:rsidRPr="00AF675A" w:rsidRDefault="008313DF">
            <w:pPr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0,0000</w:t>
            </w:r>
          </w:p>
        </w:tc>
      </w:tr>
      <w:tr w:rsidR="008313DF" w:rsidRPr="00AF675A" w14:paraId="251A3538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72FB8320" w14:textId="77777777" w:rsidR="008313DF" w:rsidRPr="00AF675A" w:rsidRDefault="008313DF">
            <w:pPr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6160" w:type="dxa"/>
            <w:noWrap/>
            <w:hideMark/>
          </w:tcPr>
          <w:p w14:paraId="35E25797" w14:textId="77777777" w:rsidR="008313DF" w:rsidRPr="00AF675A" w:rsidRDefault="008313DF">
            <w:pPr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Muud näitajad</w:t>
            </w:r>
          </w:p>
        </w:tc>
        <w:tc>
          <w:tcPr>
            <w:tcW w:w="1013" w:type="dxa"/>
            <w:noWrap/>
            <w:hideMark/>
          </w:tcPr>
          <w:p w14:paraId="47470429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0A777D9A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F693CE4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797868A0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5.1.</w:t>
            </w:r>
          </w:p>
        </w:tc>
        <w:tc>
          <w:tcPr>
            <w:tcW w:w="6160" w:type="dxa"/>
            <w:hideMark/>
          </w:tcPr>
          <w:p w14:paraId="1B52C6AD" w14:textId="05B47E22" w:rsidR="008313DF" w:rsidRPr="00AF675A" w:rsidRDefault="008313DF">
            <w:pPr>
              <w:jc w:val="left"/>
              <w:rPr>
                <w:rFonts w:cs="Times New Roman"/>
                <w:szCs w:val="24"/>
              </w:rPr>
            </w:pPr>
            <w:r w:rsidRPr="00AF675A">
              <w:rPr>
                <w:rFonts w:cs="Times New Roman"/>
                <w:szCs w:val="24"/>
              </w:rPr>
              <w:t>Liiniläbisõit aastas (01.0</w:t>
            </w:r>
            <w:r w:rsidR="00DF3696" w:rsidRPr="00AF675A">
              <w:rPr>
                <w:rFonts w:cs="Times New Roman"/>
                <w:szCs w:val="24"/>
              </w:rPr>
              <w:t>7</w:t>
            </w:r>
            <w:r w:rsidRPr="00AF675A">
              <w:rPr>
                <w:rFonts w:cs="Times New Roman"/>
                <w:szCs w:val="24"/>
              </w:rPr>
              <w:t>.202</w:t>
            </w:r>
            <w:r w:rsidR="00DF3696" w:rsidRPr="00AF675A">
              <w:rPr>
                <w:rFonts w:cs="Times New Roman"/>
                <w:szCs w:val="24"/>
              </w:rPr>
              <w:t>6</w:t>
            </w:r>
            <w:r w:rsidRPr="00AF675A">
              <w:rPr>
                <w:rFonts w:cs="Times New Roman"/>
                <w:szCs w:val="24"/>
              </w:rPr>
              <w:t xml:space="preserve"> - </w:t>
            </w:r>
            <w:r w:rsidR="00DF3696" w:rsidRPr="00AF675A">
              <w:rPr>
                <w:rFonts w:cs="Times New Roman"/>
                <w:szCs w:val="24"/>
              </w:rPr>
              <w:t>30</w:t>
            </w:r>
            <w:r w:rsidRPr="00AF675A">
              <w:rPr>
                <w:rFonts w:cs="Times New Roman"/>
                <w:szCs w:val="24"/>
              </w:rPr>
              <w:t>.0</w:t>
            </w:r>
            <w:r w:rsidR="00DF3696" w:rsidRPr="00AF675A">
              <w:rPr>
                <w:rFonts w:cs="Times New Roman"/>
                <w:szCs w:val="24"/>
              </w:rPr>
              <w:t>7</w:t>
            </w:r>
            <w:r w:rsidRPr="00AF675A">
              <w:rPr>
                <w:rFonts w:cs="Times New Roman"/>
                <w:szCs w:val="24"/>
              </w:rPr>
              <w:t>.202</w:t>
            </w:r>
            <w:r w:rsidR="00DF3696" w:rsidRPr="00AF675A">
              <w:rPr>
                <w:rFonts w:cs="Times New Roman"/>
                <w:szCs w:val="24"/>
              </w:rPr>
              <w:t>7</w:t>
            </w:r>
            <w:r w:rsidRPr="00AF675A">
              <w:rPr>
                <w:rFonts w:cs="Times New Roman"/>
                <w:szCs w:val="24"/>
              </w:rPr>
              <w:t>)</w:t>
            </w:r>
          </w:p>
        </w:tc>
        <w:tc>
          <w:tcPr>
            <w:tcW w:w="1013" w:type="dxa"/>
            <w:noWrap/>
            <w:hideMark/>
          </w:tcPr>
          <w:p w14:paraId="519C9AC3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km</w:t>
            </w:r>
          </w:p>
        </w:tc>
        <w:tc>
          <w:tcPr>
            <w:tcW w:w="1180" w:type="dxa"/>
            <w:noWrap/>
            <w:hideMark/>
          </w:tcPr>
          <w:p w14:paraId="7FEA025A" w14:textId="5BA8FDA5" w:rsidR="008313DF" w:rsidRPr="00AF675A" w:rsidRDefault="00C054AD">
            <w:pPr>
              <w:jc w:val="right"/>
              <w:rPr>
                <w:rFonts w:cs="Times New Roman"/>
                <w:color w:val="FF0000"/>
                <w:szCs w:val="24"/>
              </w:rPr>
            </w:pPr>
            <w:r w:rsidRPr="00AF675A">
              <w:rPr>
                <w:rFonts w:cs="Times New Roman"/>
                <w:szCs w:val="24"/>
              </w:rPr>
              <w:t>64</w:t>
            </w:r>
            <w:r w:rsidRPr="00AF675A">
              <w:rPr>
                <w:rFonts w:cs="Times New Roman"/>
                <w:szCs w:val="24"/>
              </w:rPr>
              <w:t xml:space="preserve"> </w:t>
            </w:r>
            <w:r w:rsidRPr="00AF675A">
              <w:rPr>
                <w:rFonts w:cs="Times New Roman"/>
                <w:szCs w:val="24"/>
              </w:rPr>
              <w:t>240</w:t>
            </w:r>
          </w:p>
        </w:tc>
      </w:tr>
      <w:tr w:rsidR="008313DF" w:rsidRPr="00AF675A" w14:paraId="02FE6FD3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1351DCF5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5.2.</w:t>
            </w:r>
          </w:p>
        </w:tc>
        <w:tc>
          <w:tcPr>
            <w:tcW w:w="6160" w:type="dxa"/>
            <w:hideMark/>
          </w:tcPr>
          <w:p w14:paraId="46966C95" w14:textId="5099F59C" w:rsidR="008313DF" w:rsidRPr="00AF675A" w:rsidRDefault="008313DF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AF675A">
              <w:rPr>
                <w:rFonts w:cs="Times New Roman"/>
                <w:szCs w:val="24"/>
              </w:rPr>
              <w:t>Üldläbisõit</w:t>
            </w:r>
            <w:proofErr w:type="spellEnd"/>
            <w:r w:rsidRPr="00AF675A">
              <w:rPr>
                <w:rFonts w:cs="Times New Roman"/>
                <w:szCs w:val="24"/>
              </w:rPr>
              <w:t xml:space="preserve"> aastas </w:t>
            </w:r>
            <w:r w:rsidR="00DF3696" w:rsidRPr="00AF675A">
              <w:rPr>
                <w:rFonts w:cs="Times New Roman"/>
                <w:szCs w:val="24"/>
              </w:rPr>
              <w:t>(01.07.2026 - 30.07.2027)</w:t>
            </w:r>
          </w:p>
        </w:tc>
        <w:tc>
          <w:tcPr>
            <w:tcW w:w="1013" w:type="dxa"/>
            <w:noWrap/>
            <w:hideMark/>
          </w:tcPr>
          <w:p w14:paraId="13D07835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km</w:t>
            </w:r>
          </w:p>
        </w:tc>
        <w:tc>
          <w:tcPr>
            <w:tcW w:w="1180" w:type="dxa"/>
            <w:noWrap/>
            <w:hideMark/>
          </w:tcPr>
          <w:p w14:paraId="3FA04832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72CFBAB8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761493F7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5.3.</w:t>
            </w:r>
          </w:p>
        </w:tc>
        <w:tc>
          <w:tcPr>
            <w:tcW w:w="6160" w:type="dxa"/>
            <w:noWrap/>
            <w:hideMark/>
          </w:tcPr>
          <w:p w14:paraId="0E7D7248" w14:textId="77777777" w:rsidR="008313DF" w:rsidRPr="00AF675A" w:rsidRDefault="008313DF">
            <w:pPr>
              <w:jc w:val="left"/>
              <w:rPr>
                <w:rFonts w:cs="Times New Roman"/>
                <w:szCs w:val="24"/>
              </w:rPr>
            </w:pPr>
            <w:r w:rsidRPr="00AF675A">
              <w:rPr>
                <w:rFonts w:cs="Times New Roman"/>
                <w:szCs w:val="24"/>
              </w:rPr>
              <w:t>Bussijuhtide arv taandatuna täistööajale</w:t>
            </w:r>
          </w:p>
        </w:tc>
        <w:tc>
          <w:tcPr>
            <w:tcW w:w="1013" w:type="dxa"/>
            <w:noWrap/>
            <w:hideMark/>
          </w:tcPr>
          <w:p w14:paraId="7D95EED2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arv</w:t>
            </w:r>
          </w:p>
        </w:tc>
        <w:tc>
          <w:tcPr>
            <w:tcW w:w="1180" w:type="dxa"/>
            <w:noWrap/>
            <w:hideMark/>
          </w:tcPr>
          <w:p w14:paraId="7BF7F71B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6D51B1B2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263B250C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5.4.</w:t>
            </w:r>
          </w:p>
        </w:tc>
        <w:tc>
          <w:tcPr>
            <w:tcW w:w="6160" w:type="dxa"/>
            <w:noWrap/>
            <w:hideMark/>
          </w:tcPr>
          <w:p w14:paraId="46090F1B" w14:textId="77777777" w:rsidR="008313DF" w:rsidRPr="00AF675A" w:rsidRDefault="008313DF">
            <w:pPr>
              <w:jc w:val="left"/>
              <w:rPr>
                <w:rFonts w:cs="Times New Roman"/>
                <w:szCs w:val="24"/>
              </w:rPr>
            </w:pPr>
            <w:r w:rsidRPr="00AF675A">
              <w:rPr>
                <w:rFonts w:cs="Times New Roman"/>
                <w:szCs w:val="24"/>
              </w:rPr>
              <w:t>Remonditööliste arv taandatuna täistööajale</w:t>
            </w:r>
          </w:p>
        </w:tc>
        <w:tc>
          <w:tcPr>
            <w:tcW w:w="1013" w:type="dxa"/>
            <w:noWrap/>
            <w:hideMark/>
          </w:tcPr>
          <w:p w14:paraId="64955F2A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arv</w:t>
            </w:r>
          </w:p>
        </w:tc>
        <w:tc>
          <w:tcPr>
            <w:tcW w:w="1180" w:type="dxa"/>
            <w:noWrap/>
            <w:hideMark/>
          </w:tcPr>
          <w:p w14:paraId="5170BEB9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0D722B6E" w14:textId="77777777" w:rsidTr="00F81977">
        <w:trPr>
          <w:trHeight w:val="600"/>
        </w:trPr>
        <w:tc>
          <w:tcPr>
            <w:tcW w:w="635" w:type="dxa"/>
            <w:noWrap/>
            <w:hideMark/>
          </w:tcPr>
          <w:p w14:paraId="721AE87B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5.5.</w:t>
            </w:r>
          </w:p>
        </w:tc>
        <w:tc>
          <w:tcPr>
            <w:tcW w:w="6160" w:type="dxa"/>
            <w:hideMark/>
          </w:tcPr>
          <w:p w14:paraId="0D55A967" w14:textId="77777777" w:rsidR="008313DF" w:rsidRPr="00AF675A" w:rsidRDefault="008313DF">
            <w:pPr>
              <w:jc w:val="left"/>
              <w:rPr>
                <w:rFonts w:cs="Times New Roman"/>
                <w:szCs w:val="24"/>
              </w:rPr>
            </w:pPr>
            <w:r w:rsidRPr="00AF675A">
              <w:rPr>
                <w:rFonts w:cs="Times New Roman"/>
                <w:szCs w:val="24"/>
              </w:rPr>
              <w:t xml:space="preserve">Busside poolt mootorites ja lisakütteseadmetes kasutatav diislikütuse kogus aastas kokku (sh </w:t>
            </w:r>
            <w:proofErr w:type="spellStart"/>
            <w:r w:rsidRPr="00AF675A">
              <w:rPr>
                <w:rFonts w:cs="Times New Roman"/>
                <w:szCs w:val="24"/>
              </w:rPr>
              <w:t>üldläbisõit</w:t>
            </w:r>
            <w:proofErr w:type="spellEnd"/>
            <w:r w:rsidRPr="00AF675A">
              <w:rPr>
                <w:rFonts w:cs="Times New Roman"/>
                <w:szCs w:val="24"/>
              </w:rPr>
              <w:t xml:space="preserve"> ja tühikäik)</w:t>
            </w:r>
          </w:p>
        </w:tc>
        <w:tc>
          <w:tcPr>
            <w:tcW w:w="1013" w:type="dxa"/>
            <w:noWrap/>
            <w:hideMark/>
          </w:tcPr>
          <w:p w14:paraId="2A508B7E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proofErr w:type="spellStart"/>
            <w:r w:rsidRPr="00AF675A">
              <w:rPr>
                <w:rFonts w:cs="Times New Roman"/>
                <w:color w:val="000000"/>
                <w:szCs w:val="24"/>
              </w:rPr>
              <w:t>tuh.liitrit</w:t>
            </w:r>
            <w:proofErr w:type="spellEnd"/>
          </w:p>
        </w:tc>
        <w:tc>
          <w:tcPr>
            <w:tcW w:w="1180" w:type="dxa"/>
            <w:noWrap/>
            <w:hideMark/>
          </w:tcPr>
          <w:p w14:paraId="6F0427A7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658C41DE" w14:textId="77777777" w:rsidTr="00F81977">
        <w:trPr>
          <w:trHeight w:val="600"/>
        </w:trPr>
        <w:tc>
          <w:tcPr>
            <w:tcW w:w="635" w:type="dxa"/>
            <w:noWrap/>
            <w:hideMark/>
          </w:tcPr>
          <w:p w14:paraId="6FF8D4E1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5.6.</w:t>
            </w:r>
          </w:p>
        </w:tc>
        <w:tc>
          <w:tcPr>
            <w:tcW w:w="6160" w:type="dxa"/>
            <w:hideMark/>
          </w:tcPr>
          <w:p w14:paraId="380BA53D" w14:textId="77777777" w:rsidR="008313DF" w:rsidRPr="00AF675A" w:rsidRDefault="008313DF">
            <w:pPr>
              <w:jc w:val="left"/>
              <w:rPr>
                <w:rFonts w:cs="Times New Roman"/>
                <w:szCs w:val="24"/>
              </w:rPr>
            </w:pPr>
            <w:r w:rsidRPr="00AF675A">
              <w:rPr>
                <w:rFonts w:cs="Times New Roman"/>
                <w:szCs w:val="24"/>
              </w:rPr>
              <w:t>Busside poolt mootorites ja lisakütteseadmetes kasutatav maagaasi (CNG, CNG</w:t>
            </w:r>
            <w:r w:rsidRPr="00AF675A">
              <w:rPr>
                <w:rFonts w:cs="Times New Roman"/>
                <w:szCs w:val="24"/>
                <w:vertAlign w:val="superscript"/>
              </w:rPr>
              <w:t>+</w:t>
            </w:r>
            <w:r w:rsidRPr="00AF675A">
              <w:rPr>
                <w:rFonts w:cs="Times New Roman"/>
                <w:szCs w:val="24"/>
              </w:rPr>
              <w:t xml:space="preserve">) kogus aastas kokku (sh </w:t>
            </w:r>
            <w:proofErr w:type="spellStart"/>
            <w:r w:rsidRPr="00AF675A">
              <w:rPr>
                <w:rFonts w:cs="Times New Roman"/>
                <w:szCs w:val="24"/>
              </w:rPr>
              <w:t>üldläbisõit</w:t>
            </w:r>
            <w:proofErr w:type="spellEnd"/>
            <w:r w:rsidRPr="00AF675A">
              <w:rPr>
                <w:rFonts w:cs="Times New Roman"/>
                <w:szCs w:val="24"/>
              </w:rPr>
              <w:t xml:space="preserve"> ja tühikäik)</w:t>
            </w:r>
          </w:p>
        </w:tc>
        <w:tc>
          <w:tcPr>
            <w:tcW w:w="1013" w:type="dxa"/>
            <w:noWrap/>
            <w:hideMark/>
          </w:tcPr>
          <w:p w14:paraId="31CEE569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tuh.kg</w:t>
            </w:r>
          </w:p>
        </w:tc>
        <w:tc>
          <w:tcPr>
            <w:tcW w:w="1180" w:type="dxa"/>
            <w:noWrap/>
            <w:hideMark/>
          </w:tcPr>
          <w:p w14:paraId="6943B539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3D45240" w14:textId="77777777" w:rsidTr="00F81977">
        <w:trPr>
          <w:trHeight w:val="600"/>
        </w:trPr>
        <w:tc>
          <w:tcPr>
            <w:tcW w:w="635" w:type="dxa"/>
            <w:noWrap/>
            <w:hideMark/>
          </w:tcPr>
          <w:p w14:paraId="50C7CCA5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5.7.</w:t>
            </w:r>
          </w:p>
        </w:tc>
        <w:tc>
          <w:tcPr>
            <w:tcW w:w="6160" w:type="dxa"/>
            <w:hideMark/>
          </w:tcPr>
          <w:p w14:paraId="1C02BE78" w14:textId="77777777" w:rsidR="008313DF" w:rsidRPr="00AF675A" w:rsidRDefault="008313DF">
            <w:pPr>
              <w:jc w:val="left"/>
              <w:rPr>
                <w:rFonts w:cs="Times New Roman"/>
                <w:szCs w:val="24"/>
              </w:rPr>
            </w:pPr>
            <w:r w:rsidRPr="00AF675A">
              <w:rPr>
                <w:rFonts w:cs="Times New Roman"/>
                <w:szCs w:val="24"/>
              </w:rPr>
              <w:t xml:space="preserve">Busside poolt mootorites ja lisakütteseadmetes kasutatav metaangaasi (CBM) kogus aastas kokku (sh </w:t>
            </w:r>
            <w:proofErr w:type="spellStart"/>
            <w:r w:rsidRPr="00AF675A">
              <w:rPr>
                <w:rFonts w:cs="Times New Roman"/>
                <w:szCs w:val="24"/>
              </w:rPr>
              <w:t>üldläbisõit</w:t>
            </w:r>
            <w:proofErr w:type="spellEnd"/>
            <w:r w:rsidRPr="00AF675A">
              <w:rPr>
                <w:rFonts w:cs="Times New Roman"/>
                <w:szCs w:val="24"/>
              </w:rPr>
              <w:t xml:space="preserve"> ja tühikäik)</w:t>
            </w:r>
          </w:p>
        </w:tc>
        <w:tc>
          <w:tcPr>
            <w:tcW w:w="1013" w:type="dxa"/>
            <w:noWrap/>
            <w:hideMark/>
          </w:tcPr>
          <w:p w14:paraId="3051C3FB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tuh.kg</w:t>
            </w:r>
          </w:p>
        </w:tc>
        <w:tc>
          <w:tcPr>
            <w:tcW w:w="1180" w:type="dxa"/>
            <w:noWrap/>
            <w:hideMark/>
          </w:tcPr>
          <w:p w14:paraId="4BD84B7A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BB6E173" w14:textId="77777777" w:rsidTr="00F81977">
        <w:trPr>
          <w:trHeight w:val="600"/>
        </w:trPr>
        <w:tc>
          <w:tcPr>
            <w:tcW w:w="635" w:type="dxa"/>
            <w:noWrap/>
            <w:hideMark/>
          </w:tcPr>
          <w:p w14:paraId="43642D4D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lastRenderedPageBreak/>
              <w:t>5.8.</w:t>
            </w:r>
          </w:p>
        </w:tc>
        <w:tc>
          <w:tcPr>
            <w:tcW w:w="6160" w:type="dxa"/>
            <w:hideMark/>
          </w:tcPr>
          <w:p w14:paraId="752ACAD2" w14:textId="77777777" w:rsidR="008313DF" w:rsidRPr="00AF675A" w:rsidRDefault="008313DF">
            <w:pPr>
              <w:jc w:val="left"/>
              <w:rPr>
                <w:rFonts w:cs="Times New Roman"/>
                <w:szCs w:val="24"/>
              </w:rPr>
            </w:pPr>
            <w:r w:rsidRPr="00AF675A">
              <w:rPr>
                <w:rFonts w:cs="Times New Roman"/>
                <w:szCs w:val="24"/>
              </w:rPr>
              <w:t xml:space="preserve">Busside poolt mootorites ja lisakütteseadmetes kasutatav muu kütuse kogus aastas kokku (sh </w:t>
            </w:r>
            <w:proofErr w:type="spellStart"/>
            <w:r w:rsidRPr="00AF675A">
              <w:rPr>
                <w:rFonts w:cs="Times New Roman"/>
                <w:szCs w:val="24"/>
              </w:rPr>
              <w:t>üldläbisõit</w:t>
            </w:r>
            <w:proofErr w:type="spellEnd"/>
            <w:r w:rsidRPr="00AF675A">
              <w:rPr>
                <w:rFonts w:cs="Times New Roman"/>
                <w:szCs w:val="24"/>
              </w:rPr>
              <w:t xml:space="preserve"> ja tühikäik)</w:t>
            </w:r>
            <w:r w:rsidRPr="00AF675A">
              <w:rPr>
                <w:rFonts w:cs="Times New Roman"/>
                <w:szCs w:val="24"/>
                <w:vertAlign w:val="superscript"/>
              </w:rPr>
              <w:t>2</w:t>
            </w:r>
          </w:p>
        </w:tc>
        <w:tc>
          <w:tcPr>
            <w:tcW w:w="1013" w:type="dxa"/>
            <w:noWrap/>
            <w:hideMark/>
          </w:tcPr>
          <w:p w14:paraId="05B3D10E" w14:textId="6B5CC62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nimetad²</w:t>
            </w:r>
          </w:p>
        </w:tc>
        <w:tc>
          <w:tcPr>
            <w:tcW w:w="1180" w:type="dxa"/>
            <w:noWrap/>
            <w:hideMark/>
          </w:tcPr>
          <w:p w14:paraId="5E67B5D0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487B9F96" w14:textId="77777777" w:rsidTr="00F81977">
        <w:trPr>
          <w:trHeight w:val="300"/>
        </w:trPr>
        <w:tc>
          <w:tcPr>
            <w:tcW w:w="635" w:type="dxa"/>
            <w:noWrap/>
            <w:hideMark/>
          </w:tcPr>
          <w:p w14:paraId="41F3E067" w14:textId="77777777" w:rsidR="008313DF" w:rsidRPr="00AF675A" w:rsidRDefault="008313D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5.9.</w:t>
            </w:r>
          </w:p>
        </w:tc>
        <w:tc>
          <w:tcPr>
            <w:tcW w:w="6160" w:type="dxa"/>
            <w:hideMark/>
          </w:tcPr>
          <w:p w14:paraId="43F4B146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…</w:t>
            </w:r>
          </w:p>
        </w:tc>
        <w:tc>
          <w:tcPr>
            <w:tcW w:w="1013" w:type="dxa"/>
            <w:noWrap/>
            <w:hideMark/>
          </w:tcPr>
          <w:p w14:paraId="1D41ACD0" w14:textId="77777777" w:rsidR="008313DF" w:rsidRPr="00AF675A" w:rsidRDefault="008313DF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7B8F6DFE" w14:textId="77777777" w:rsidR="008313DF" w:rsidRPr="00AF675A" w:rsidRDefault="008313DF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AF675A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8313DF" w:rsidRPr="00AF675A" w14:paraId="251FE1C0" w14:textId="77777777" w:rsidTr="00F81977">
        <w:trPr>
          <w:trHeight w:val="315"/>
        </w:trPr>
        <w:tc>
          <w:tcPr>
            <w:tcW w:w="635" w:type="dxa"/>
            <w:shd w:val="clear" w:color="000000" w:fill="D9D9D9"/>
            <w:noWrap/>
            <w:hideMark/>
          </w:tcPr>
          <w:p w14:paraId="49A61023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6.</w:t>
            </w:r>
          </w:p>
        </w:tc>
        <w:tc>
          <w:tcPr>
            <w:tcW w:w="6160" w:type="dxa"/>
            <w:shd w:val="clear" w:color="000000" w:fill="D9D9D9"/>
            <w:hideMark/>
          </w:tcPr>
          <w:p w14:paraId="02C5F5F8" w14:textId="77777777" w:rsidR="008313DF" w:rsidRPr="00AF675A" w:rsidRDefault="008313DF">
            <w:pPr>
              <w:jc w:val="lef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Pakkumuse maksumus (ühe liinikilomeetri maksumus)</w:t>
            </w:r>
          </w:p>
        </w:tc>
        <w:tc>
          <w:tcPr>
            <w:tcW w:w="1013" w:type="dxa"/>
            <w:shd w:val="clear" w:color="000000" w:fill="D9D9D9"/>
            <w:noWrap/>
            <w:hideMark/>
          </w:tcPr>
          <w:p w14:paraId="7F79EA1B" w14:textId="77777777" w:rsidR="008313DF" w:rsidRPr="00AF675A" w:rsidRDefault="008313D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euro/km</w:t>
            </w:r>
          </w:p>
        </w:tc>
        <w:tc>
          <w:tcPr>
            <w:tcW w:w="1180" w:type="dxa"/>
            <w:shd w:val="clear" w:color="000000" w:fill="D9D9D9"/>
            <w:noWrap/>
            <w:hideMark/>
          </w:tcPr>
          <w:p w14:paraId="031704CD" w14:textId="77777777" w:rsidR="008313DF" w:rsidRPr="00AF675A" w:rsidRDefault="008313DF">
            <w:pPr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  <w:r w:rsidRPr="00AF675A">
              <w:rPr>
                <w:rFonts w:cs="Times New Roman"/>
                <w:b/>
                <w:bCs/>
                <w:color w:val="000000"/>
                <w:szCs w:val="24"/>
              </w:rPr>
              <w:t>0,0000</w:t>
            </w:r>
          </w:p>
        </w:tc>
      </w:tr>
    </w:tbl>
    <w:p w14:paraId="5B7B397C" w14:textId="77777777" w:rsidR="00DE71FC" w:rsidRPr="00AF675A" w:rsidRDefault="00DE71FC" w:rsidP="005C78E8">
      <w:pPr>
        <w:spacing w:after="0" w:line="240" w:lineRule="auto"/>
        <w:jc w:val="left"/>
        <w:rPr>
          <w:rFonts w:cs="Times New Roman"/>
          <w:szCs w:val="24"/>
        </w:rPr>
      </w:pPr>
      <w:r w:rsidRPr="00AF675A">
        <w:rPr>
          <w:rFonts w:cs="Times New Roman"/>
          <w:szCs w:val="24"/>
        </w:rPr>
        <w:br/>
      </w:r>
    </w:p>
    <w:tbl>
      <w:tblPr>
        <w:tblW w:w="9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1"/>
        <w:gridCol w:w="148"/>
        <w:gridCol w:w="151"/>
        <w:gridCol w:w="148"/>
      </w:tblGrid>
      <w:tr w:rsidR="00DE71FC" w:rsidRPr="00DE71FC" w14:paraId="76EA48CB" w14:textId="77777777" w:rsidTr="00D944FC">
        <w:trPr>
          <w:gridAfter w:val="1"/>
          <w:wAfter w:w="148" w:type="dxa"/>
          <w:trHeight w:val="517"/>
        </w:trPr>
        <w:tc>
          <w:tcPr>
            <w:tcW w:w="91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938F1" w14:textId="414B9A11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t-EE"/>
              </w:rPr>
            </w:pPr>
            <w:r w:rsidRPr="00DE71FC">
              <w:rPr>
                <w:rFonts w:eastAsia="Times New Roman" w:cs="Times New Roman"/>
                <w:szCs w:val="24"/>
                <w:vertAlign w:val="superscript"/>
                <w:lang w:eastAsia="et-EE"/>
              </w:rPr>
              <w:t xml:space="preserve">1  </w:t>
            </w:r>
            <w:r w:rsidRPr="00DE71FC">
              <w:rPr>
                <w:rFonts w:eastAsia="Times New Roman" w:cs="Times New Roman"/>
                <w:szCs w:val="24"/>
                <w:lang w:eastAsia="et-EE"/>
              </w:rPr>
              <w:t xml:space="preserve"> Tööjõukulu real tuleb kajastada kulu koos tulu-, sotsiaal- jm maksudega nii töölepingu kui ka töölepingust erineva lepingu (sh käsundus-, töövõtu- ja tööjõu rendi lepingud) alusel töötamise korral. </w:t>
            </w:r>
          </w:p>
        </w:tc>
      </w:tr>
      <w:tr w:rsidR="00DE71FC" w:rsidRPr="00DE71FC" w14:paraId="33FD1674" w14:textId="77777777" w:rsidTr="00D944FC">
        <w:trPr>
          <w:trHeight w:val="150"/>
        </w:trPr>
        <w:tc>
          <w:tcPr>
            <w:tcW w:w="91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8C62" w14:textId="77777777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t-E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5028" w14:textId="77777777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t-EE"/>
              </w:rPr>
            </w:pPr>
          </w:p>
        </w:tc>
      </w:tr>
      <w:tr w:rsidR="00DE71FC" w:rsidRPr="00DE71FC" w14:paraId="32D67DF0" w14:textId="77777777" w:rsidTr="00D944FC">
        <w:trPr>
          <w:trHeight w:val="532"/>
        </w:trPr>
        <w:tc>
          <w:tcPr>
            <w:tcW w:w="91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326CD" w14:textId="77777777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t-E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44F8" w14:textId="77777777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t-EE"/>
              </w:rPr>
            </w:pPr>
          </w:p>
        </w:tc>
      </w:tr>
      <w:tr w:rsidR="00DE71FC" w:rsidRPr="00DE71FC" w14:paraId="6B7B77AE" w14:textId="77777777" w:rsidTr="00D944FC">
        <w:trPr>
          <w:trHeight w:val="46"/>
        </w:trPr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A4198" w14:textId="77777777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DE71FC">
              <w:rPr>
                <w:rFonts w:eastAsia="Times New Roman" w:cs="Times New Roman"/>
                <w:color w:val="000000"/>
                <w:szCs w:val="24"/>
                <w:vertAlign w:val="superscript"/>
                <w:lang w:eastAsia="et-EE"/>
              </w:rPr>
              <w:t xml:space="preserve">2   </w:t>
            </w:r>
            <w:r w:rsidRPr="00DE71FC">
              <w:rPr>
                <w:rFonts w:eastAsia="Times New Roman" w:cs="Times New Roman"/>
                <w:color w:val="000000"/>
                <w:szCs w:val="24"/>
                <w:lang w:eastAsia="et-EE"/>
              </w:rPr>
              <w:t>Erinevate muude kütuste kaupa, nimetades ühiku lahtris ka vastava mõõtühiku.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4327" w14:textId="77777777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0E53" w14:textId="77777777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t-EE"/>
              </w:rPr>
            </w:pPr>
          </w:p>
        </w:tc>
        <w:tc>
          <w:tcPr>
            <w:tcW w:w="148" w:type="dxa"/>
            <w:vAlign w:val="center"/>
            <w:hideMark/>
          </w:tcPr>
          <w:p w14:paraId="58B67A37" w14:textId="77777777" w:rsidR="00DE71FC" w:rsidRPr="00DE71FC" w:rsidRDefault="00DE71FC" w:rsidP="00DE71FC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et-EE"/>
              </w:rPr>
            </w:pPr>
          </w:p>
        </w:tc>
      </w:tr>
    </w:tbl>
    <w:p w14:paraId="04EBC83C" w14:textId="131D05FB" w:rsidR="0077462C" w:rsidRPr="00AF675A" w:rsidRDefault="0077462C" w:rsidP="005C78E8">
      <w:pPr>
        <w:spacing w:after="0" w:line="240" w:lineRule="auto"/>
        <w:jc w:val="left"/>
        <w:rPr>
          <w:rFonts w:cs="Times New Roman"/>
          <w:szCs w:val="24"/>
        </w:rPr>
      </w:pPr>
    </w:p>
    <w:p w14:paraId="646D6389" w14:textId="77777777" w:rsidR="0077462C" w:rsidRPr="00AF675A" w:rsidRDefault="0077462C" w:rsidP="005C78E8">
      <w:pPr>
        <w:spacing w:after="0" w:line="240" w:lineRule="auto"/>
        <w:rPr>
          <w:rFonts w:cs="Times New Roman"/>
          <w:szCs w:val="24"/>
        </w:rPr>
      </w:pPr>
    </w:p>
    <w:sectPr w:rsidR="0077462C" w:rsidRPr="00AF675A" w:rsidSect="00AF675A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0F64" w14:textId="77777777" w:rsidR="005E699C" w:rsidRDefault="005E699C" w:rsidP="00F84D65">
      <w:pPr>
        <w:spacing w:after="0" w:line="240" w:lineRule="auto"/>
      </w:pPr>
      <w:r>
        <w:separator/>
      </w:r>
    </w:p>
  </w:endnote>
  <w:endnote w:type="continuationSeparator" w:id="0">
    <w:p w14:paraId="476747D5" w14:textId="77777777" w:rsidR="005E699C" w:rsidRDefault="005E699C" w:rsidP="00F8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B604" w14:textId="77777777" w:rsidR="005E699C" w:rsidRDefault="005E699C" w:rsidP="00F84D65">
      <w:pPr>
        <w:spacing w:after="0" w:line="240" w:lineRule="auto"/>
      </w:pPr>
      <w:r>
        <w:separator/>
      </w:r>
    </w:p>
  </w:footnote>
  <w:footnote w:type="continuationSeparator" w:id="0">
    <w:p w14:paraId="743FB9E7" w14:textId="77777777" w:rsidR="005E699C" w:rsidRDefault="005E699C" w:rsidP="00F8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717D"/>
    <w:multiLevelType w:val="multilevel"/>
    <w:tmpl w:val="B4802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2754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E"/>
    <w:rsid w:val="00042E4E"/>
    <w:rsid w:val="00063E12"/>
    <w:rsid w:val="00066ABA"/>
    <w:rsid w:val="00081BCB"/>
    <w:rsid w:val="000937C1"/>
    <w:rsid w:val="000C7ADB"/>
    <w:rsid w:val="00127725"/>
    <w:rsid w:val="0014591E"/>
    <w:rsid w:val="00160472"/>
    <w:rsid w:val="001B4771"/>
    <w:rsid w:val="00203DD4"/>
    <w:rsid w:val="002045A3"/>
    <w:rsid w:val="00221ABA"/>
    <w:rsid w:val="002B1937"/>
    <w:rsid w:val="00320768"/>
    <w:rsid w:val="003546BA"/>
    <w:rsid w:val="00380A1B"/>
    <w:rsid w:val="00381500"/>
    <w:rsid w:val="0039685A"/>
    <w:rsid w:val="00400207"/>
    <w:rsid w:val="00400DE6"/>
    <w:rsid w:val="004224B6"/>
    <w:rsid w:val="00435944"/>
    <w:rsid w:val="00461BA1"/>
    <w:rsid w:val="00483A4C"/>
    <w:rsid w:val="00494BA3"/>
    <w:rsid w:val="004D039D"/>
    <w:rsid w:val="00546D29"/>
    <w:rsid w:val="005A4ADC"/>
    <w:rsid w:val="005C24B6"/>
    <w:rsid w:val="005C78E8"/>
    <w:rsid w:val="005E03A7"/>
    <w:rsid w:val="005E59CB"/>
    <w:rsid w:val="005E699C"/>
    <w:rsid w:val="00637370"/>
    <w:rsid w:val="006657AB"/>
    <w:rsid w:val="00683723"/>
    <w:rsid w:val="006D3F00"/>
    <w:rsid w:val="006E14CB"/>
    <w:rsid w:val="00700D98"/>
    <w:rsid w:val="007102EA"/>
    <w:rsid w:val="00764375"/>
    <w:rsid w:val="0077462C"/>
    <w:rsid w:val="007B5BAF"/>
    <w:rsid w:val="007E079F"/>
    <w:rsid w:val="007F5CD3"/>
    <w:rsid w:val="00804D09"/>
    <w:rsid w:val="008313DF"/>
    <w:rsid w:val="00832315"/>
    <w:rsid w:val="00845C3E"/>
    <w:rsid w:val="008A7064"/>
    <w:rsid w:val="008B0721"/>
    <w:rsid w:val="008D46C1"/>
    <w:rsid w:val="00912D4B"/>
    <w:rsid w:val="009A306A"/>
    <w:rsid w:val="009C044F"/>
    <w:rsid w:val="009C7BBF"/>
    <w:rsid w:val="009D1EEB"/>
    <w:rsid w:val="009D3EE3"/>
    <w:rsid w:val="009F398E"/>
    <w:rsid w:val="009F42C3"/>
    <w:rsid w:val="00A05531"/>
    <w:rsid w:val="00A101C2"/>
    <w:rsid w:val="00A324E5"/>
    <w:rsid w:val="00A32EC6"/>
    <w:rsid w:val="00AA30D7"/>
    <w:rsid w:val="00AA7B93"/>
    <w:rsid w:val="00AE609A"/>
    <w:rsid w:val="00AF675A"/>
    <w:rsid w:val="00B176DA"/>
    <w:rsid w:val="00B248B6"/>
    <w:rsid w:val="00B37F52"/>
    <w:rsid w:val="00B7439F"/>
    <w:rsid w:val="00C054AD"/>
    <w:rsid w:val="00C102CC"/>
    <w:rsid w:val="00C46F2B"/>
    <w:rsid w:val="00C5384D"/>
    <w:rsid w:val="00C620B5"/>
    <w:rsid w:val="00CA340F"/>
    <w:rsid w:val="00CD07DD"/>
    <w:rsid w:val="00D060E4"/>
    <w:rsid w:val="00D656BD"/>
    <w:rsid w:val="00D944FC"/>
    <w:rsid w:val="00DD1224"/>
    <w:rsid w:val="00DE71FC"/>
    <w:rsid w:val="00DF3696"/>
    <w:rsid w:val="00DF75A2"/>
    <w:rsid w:val="00E0520A"/>
    <w:rsid w:val="00E17846"/>
    <w:rsid w:val="00E342B5"/>
    <w:rsid w:val="00E37A50"/>
    <w:rsid w:val="00EB01E1"/>
    <w:rsid w:val="00ED77C8"/>
    <w:rsid w:val="00F03375"/>
    <w:rsid w:val="00F14DE5"/>
    <w:rsid w:val="00F44DC9"/>
    <w:rsid w:val="00F46F72"/>
    <w:rsid w:val="00F81977"/>
    <w:rsid w:val="00F84D65"/>
    <w:rsid w:val="00F9048C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13BA"/>
  <w15:docId w15:val="{A2305B8F-E497-4DFA-AFF8-03BC1511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4591E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4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14591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F14DE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14DE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14DE5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14DE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14DE5"/>
    <w:rPr>
      <w:rFonts w:ascii="Times New Roman" w:hAnsi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1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14DE5"/>
    <w:rPr>
      <w:rFonts w:ascii="Tahoma" w:hAnsi="Tahoma" w:cs="Tahoma"/>
      <w:sz w:val="16"/>
      <w:szCs w:val="16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F84D65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F84D65"/>
    <w:rPr>
      <w:rFonts w:ascii="Times New Roman" w:hAnsi="Times New Roman"/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F84D65"/>
    <w:rPr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84D65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84D6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F8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09F30-6F4E-474B-8076-29C80F03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386</Words>
  <Characters>2863</Characters>
  <Application>Microsoft Office Word</Application>
  <DocSecurity>0</DocSecurity>
  <Lines>50</Lines>
  <Paragraphs>24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 Lepmets</dc:creator>
  <cp:lastModifiedBy>Kaupo Kase</cp:lastModifiedBy>
  <cp:revision>29</cp:revision>
  <dcterms:created xsi:type="dcterms:W3CDTF">2019-10-07T08:58:00Z</dcterms:created>
  <dcterms:modified xsi:type="dcterms:W3CDTF">2026-04-02T08:48:00Z</dcterms:modified>
</cp:coreProperties>
</file>